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39"/>
        <w:ind w:left="3285" w:right="3604"/>
        <w:jc w:val="center"/>
      </w:pPr>
      <w:r>
        <w:rPr/>
        <w:t>“Model Answer”</w:t>
      </w:r>
    </w:p>
    <w:p>
      <w:pPr>
        <w:pStyle w:val="BodyText"/>
        <w:spacing w:before="0"/>
        <w:ind w:left="3286" w:right="3604"/>
        <w:jc w:val="center"/>
      </w:pPr>
      <w:r>
        <w:rPr/>
        <w:t>IRAC Critical Thinking Assignment</w:t>
      </w:r>
    </w:p>
    <w:p>
      <w:pPr>
        <w:pStyle w:val="BodyText"/>
        <w:spacing w:before="0"/>
        <w:ind w:left="0"/>
      </w:pPr>
    </w:p>
    <w:p>
      <w:pPr>
        <w:pStyle w:val="Heading1"/>
        <w:spacing w:line="268" w:lineRule="exact" w:before="1"/>
        <w:ind w:left="120"/>
      </w:pPr>
      <w:r>
        <w:rPr/>
        <w:t>Accurately cite the case (use a complete legal citation – SLO #1)</w:t>
      </w:r>
    </w:p>
    <w:p>
      <w:pPr>
        <w:pStyle w:val="BodyText"/>
        <w:spacing w:line="268" w:lineRule="exact" w:before="0"/>
      </w:pPr>
      <w:r>
        <w:rPr/>
        <w:t>Obergefell v. Hodges, 135 S. Ct. 2584</w:t>
      </w:r>
    </w:p>
    <w:p>
      <w:pPr>
        <w:pStyle w:val="Heading1"/>
        <w:spacing w:before="197"/>
        <w:ind w:right="521"/>
      </w:pPr>
      <w:r>
        <w:rPr/>
        <w:t>BRIEFLY summarize the key facts of the case. (INFORMATION – SLO #3) – Note: The entire assignment should not exceed one, 8.5 x 11-inch page (one side only)</w:t>
      </w:r>
    </w:p>
    <w:p>
      <w:pPr>
        <w:pStyle w:val="BodyText"/>
        <w:ind w:left="119" w:right="323"/>
        <w:rPr>
          <w:i/>
        </w:rPr>
      </w:pPr>
      <w:r>
        <w:rPr/>
        <w:t>Groups of same-sex couples from Michigan, Kentucky, Ohio and Tennessee sued to challenge the constitutionality of their states' definition of marriage as a union between one man and one woman. The plaintiffs argued that the state laws banning same-sex marriage violate the Fourteenth Amendment by denying them the right to marry or to have their marriages, lawfully performed in another state, given full recognition. </w:t>
      </w:r>
      <w:r>
        <w:rPr>
          <w:i/>
        </w:rPr>
        <w:t>You can include information about the procedural history here, but it isn’t required.</w:t>
      </w:r>
    </w:p>
    <w:p>
      <w:pPr>
        <w:pStyle w:val="Heading1"/>
        <w:ind w:right="655"/>
      </w:pPr>
      <w:r>
        <w:rPr/>
        <w:t>Issue (QUESTION AT ISSUE – SLO #2) – Identify a legal issue that is presented in the case (if there are multiple issues, you should focus on an issue that aligns with content we covered that day in class).</w:t>
      </w:r>
    </w:p>
    <w:p>
      <w:pPr>
        <w:pStyle w:val="ListParagraph"/>
        <w:numPr>
          <w:ilvl w:val="0"/>
          <w:numId w:val="1"/>
        </w:numPr>
        <w:tabs>
          <w:tab w:pos="840" w:val="left" w:leader="none"/>
          <w:tab w:pos="841" w:val="left" w:leader="none"/>
        </w:tabs>
        <w:spacing w:line="240" w:lineRule="auto" w:before="195" w:after="0"/>
        <w:ind w:left="840" w:right="200" w:hanging="361"/>
        <w:jc w:val="left"/>
        <w:rPr>
          <w:sz w:val="22"/>
        </w:rPr>
      </w:pPr>
      <w:r>
        <w:rPr>
          <w:sz w:val="22"/>
        </w:rPr>
        <w:t>Whether the Fourteenth Amendment requires a State to license a marriage between two people of the same</w:t>
      </w:r>
      <w:r>
        <w:rPr>
          <w:spacing w:val="-1"/>
          <w:sz w:val="22"/>
        </w:rPr>
        <w:t> </w:t>
      </w:r>
      <w:r>
        <w:rPr>
          <w:sz w:val="22"/>
        </w:rPr>
        <w:t>sex?</w:t>
      </w:r>
    </w:p>
    <w:p>
      <w:pPr>
        <w:pStyle w:val="ListParagraph"/>
        <w:numPr>
          <w:ilvl w:val="0"/>
          <w:numId w:val="1"/>
        </w:numPr>
        <w:tabs>
          <w:tab w:pos="840" w:val="left" w:leader="none"/>
          <w:tab w:pos="841" w:val="left" w:leader="none"/>
        </w:tabs>
        <w:spacing w:line="237" w:lineRule="auto" w:before="3" w:after="0"/>
        <w:ind w:left="840" w:right="425" w:hanging="361"/>
        <w:jc w:val="left"/>
        <w:rPr>
          <w:sz w:val="22"/>
        </w:rPr>
      </w:pPr>
      <w:r>
        <w:rPr>
          <w:sz w:val="22"/>
        </w:rPr>
        <w:t>Whether the Fourteenth Amendment requires a State to recognize a same-sex marriage licensed and performed in a State which does not grant that</w:t>
      </w:r>
      <w:r>
        <w:rPr>
          <w:spacing w:val="-10"/>
          <w:sz w:val="22"/>
        </w:rPr>
        <w:t> </w:t>
      </w:r>
      <w:r>
        <w:rPr>
          <w:sz w:val="22"/>
        </w:rPr>
        <w:t>right.</w:t>
      </w:r>
    </w:p>
    <w:p>
      <w:pPr>
        <w:pStyle w:val="BodyText"/>
        <w:spacing w:before="3"/>
        <w:ind w:left="0"/>
        <w:rPr>
          <w:sz w:val="16"/>
        </w:rPr>
      </w:pPr>
    </w:p>
    <w:p>
      <w:pPr>
        <w:pStyle w:val="Heading1"/>
        <w:spacing w:before="0"/>
        <w:ind w:right="444"/>
      </w:pPr>
      <w:r>
        <w:rPr/>
        <w:t>Rule (CONCEPTS – SLO #2 &amp; #3) – Identify the legal rule (statutory or case law) that applies to the legal issue that you identified in #3.</w:t>
      </w:r>
    </w:p>
    <w:p>
      <w:pPr>
        <w:pStyle w:val="BodyText"/>
        <w:ind w:right="448"/>
      </w:pPr>
      <w:r>
        <w:rPr/>
        <w:t>Under the Due Process Clause of the Fourteenth Amendment, no State shall deprive any personal of life, liberty, or property, without due process of law.</w:t>
      </w:r>
    </w:p>
    <w:p>
      <w:pPr>
        <w:pStyle w:val="Heading1"/>
        <w:ind w:right="326"/>
      </w:pPr>
      <w:r>
        <w:rPr/>
        <w:t>Application (INTERPRETATION AND INFERENCE – SLO #3) – Explain how the court applies the rule to the issue and specific facts of the case.</w:t>
      </w:r>
    </w:p>
    <w:p>
      <w:pPr>
        <w:pStyle w:val="BodyText"/>
        <w:ind w:left="119" w:right="89"/>
      </w:pPr>
      <w:r>
        <w:rPr/>
        <w:t>The court reviews the case law/legal precedents regarding the right to marry being protected by the Constitution, acknowledges that the previous case law presumed a relationship involving opposite-sex partners, highlights that despite that fact that the cases identified essential attributes of that right based in history, tradition, and other constitutional liberties inherent in this intimate bond, then reasons that the Court must respect the basic reasons why the right to marry has been long protected. The court then outlines four principles and traditions that demonstrate the reasons marriage is fundamental under the Constitution and applies with equal force to same-sex couples. For this assignment, the most directly applicable or relevant reasoning appears on page 9 of the opinion and states, “The first premise of the Court’s relevant precedents is that the right to personal choice regarding marriage is inherent in the concept of individual autonomy. This abiding connection between marriage and liberty is why </w:t>
      </w:r>
      <w:r>
        <w:rPr>
          <w:i/>
        </w:rPr>
        <w:t>Loving </w:t>
      </w:r>
      <w:r>
        <w:rPr/>
        <w:t>invalidated interracial marriage bans under the Due Process Clause.”</w:t>
      </w:r>
    </w:p>
    <w:p>
      <w:pPr>
        <w:pStyle w:val="Heading1"/>
        <w:ind w:right="521"/>
      </w:pPr>
      <w:r>
        <w:rPr/>
        <w:t>Conclusion (INTERPRETATION AND INFERENCE – SLO #3) – Explain the court’s holding/conclusion as it relates to the legal issue that you identified.</w:t>
      </w:r>
    </w:p>
    <w:p>
      <w:pPr>
        <w:pStyle w:val="BodyText"/>
        <w:spacing w:before="197"/>
        <w:ind w:right="910"/>
      </w:pPr>
      <w:r>
        <w:rPr/>
        <w:t>The holding of the court was that the Fourteenth Amendment requires both marriage licensing and recognition for same-sex couples.</w:t>
      </w:r>
    </w:p>
    <w:p>
      <w:pPr>
        <w:pStyle w:val="Heading1"/>
        <w:ind w:left="120"/>
      </w:pPr>
      <w:r>
        <w:rPr/>
        <w:t>Connection to course content:</w:t>
      </w:r>
    </w:p>
    <w:p>
      <w:pPr>
        <w:pStyle w:val="BodyText"/>
        <w:spacing w:before="194"/>
        <w:ind w:right="271"/>
      </w:pPr>
      <w:r>
        <w:rPr/>
        <w:t>Section 4-2a of the textbook discusses limits and federal and state governmental actions and discusses the Fourteenth Amendment and “due process of law.”</w:t>
      </w:r>
    </w:p>
    <w:sectPr>
      <w:type w:val="continuous"/>
      <w:pgSz w:w="12240" w:h="15840"/>
      <w:pgMar w:top="680" w:bottom="280" w:left="1320" w:right="10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rlito">
    <w:altName w:val="Carlito"/>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40" w:hanging="361"/>
      </w:pPr>
      <w:rPr>
        <w:rFonts w:hint="default" w:ascii="Symbol" w:hAnsi="Symbol" w:eastAsia="Symbol" w:cs="Symbol"/>
        <w:w w:val="100"/>
        <w:sz w:val="22"/>
        <w:szCs w:val="22"/>
        <w:lang w:val="en-US" w:eastAsia="en-US" w:bidi="ar-SA"/>
      </w:rPr>
    </w:lvl>
    <w:lvl w:ilvl="1">
      <w:start w:val="0"/>
      <w:numFmt w:val="bullet"/>
      <w:lvlText w:val="•"/>
      <w:lvlJc w:val="left"/>
      <w:pPr>
        <w:ind w:left="1748" w:hanging="361"/>
      </w:pPr>
      <w:rPr>
        <w:rFonts w:hint="default"/>
        <w:lang w:val="en-US" w:eastAsia="en-US" w:bidi="ar-SA"/>
      </w:rPr>
    </w:lvl>
    <w:lvl w:ilvl="2">
      <w:start w:val="0"/>
      <w:numFmt w:val="bullet"/>
      <w:lvlText w:val="•"/>
      <w:lvlJc w:val="left"/>
      <w:pPr>
        <w:ind w:left="2656" w:hanging="361"/>
      </w:pPr>
      <w:rPr>
        <w:rFonts w:hint="default"/>
        <w:lang w:val="en-US" w:eastAsia="en-US" w:bidi="ar-SA"/>
      </w:rPr>
    </w:lvl>
    <w:lvl w:ilvl="3">
      <w:start w:val="0"/>
      <w:numFmt w:val="bullet"/>
      <w:lvlText w:val="•"/>
      <w:lvlJc w:val="left"/>
      <w:pPr>
        <w:ind w:left="3564" w:hanging="361"/>
      </w:pPr>
      <w:rPr>
        <w:rFonts w:hint="default"/>
        <w:lang w:val="en-US" w:eastAsia="en-US" w:bidi="ar-SA"/>
      </w:rPr>
    </w:lvl>
    <w:lvl w:ilvl="4">
      <w:start w:val="0"/>
      <w:numFmt w:val="bullet"/>
      <w:lvlText w:val="•"/>
      <w:lvlJc w:val="left"/>
      <w:pPr>
        <w:ind w:left="4472" w:hanging="361"/>
      </w:pPr>
      <w:rPr>
        <w:rFonts w:hint="default"/>
        <w:lang w:val="en-US" w:eastAsia="en-US" w:bidi="ar-SA"/>
      </w:rPr>
    </w:lvl>
    <w:lvl w:ilvl="5">
      <w:start w:val="0"/>
      <w:numFmt w:val="bullet"/>
      <w:lvlText w:val="•"/>
      <w:lvlJc w:val="left"/>
      <w:pPr>
        <w:ind w:left="5380" w:hanging="361"/>
      </w:pPr>
      <w:rPr>
        <w:rFonts w:hint="default"/>
        <w:lang w:val="en-US" w:eastAsia="en-US" w:bidi="ar-SA"/>
      </w:rPr>
    </w:lvl>
    <w:lvl w:ilvl="6">
      <w:start w:val="0"/>
      <w:numFmt w:val="bullet"/>
      <w:lvlText w:val="•"/>
      <w:lvlJc w:val="left"/>
      <w:pPr>
        <w:ind w:left="6288" w:hanging="361"/>
      </w:pPr>
      <w:rPr>
        <w:rFonts w:hint="default"/>
        <w:lang w:val="en-US" w:eastAsia="en-US" w:bidi="ar-SA"/>
      </w:rPr>
    </w:lvl>
    <w:lvl w:ilvl="7">
      <w:start w:val="0"/>
      <w:numFmt w:val="bullet"/>
      <w:lvlText w:val="•"/>
      <w:lvlJc w:val="left"/>
      <w:pPr>
        <w:ind w:left="7196" w:hanging="361"/>
      </w:pPr>
      <w:rPr>
        <w:rFonts w:hint="default"/>
        <w:lang w:val="en-US" w:eastAsia="en-US" w:bidi="ar-SA"/>
      </w:rPr>
    </w:lvl>
    <w:lvl w:ilvl="8">
      <w:start w:val="0"/>
      <w:numFmt w:val="bullet"/>
      <w:lvlText w:val="•"/>
      <w:lvlJc w:val="left"/>
      <w:pPr>
        <w:ind w:left="81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rlito" w:hAnsi="Carlito" w:eastAsia="Carlito" w:cs="Carlito"/>
      <w:lang w:val="en-US" w:eastAsia="en-US" w:bidi="ar-SA"/>
    </w:rPr>
  </w:style>
  <w:style w:styleId="BodyText" w:type="paragraph">
    <w:name w:val="Body Text"/>
    <w:basedOn w:val="Normal"/>
    <w:uiPriority w:val="1"/>
    <w:qFormat/>
    <w:pPr>
      <w:spacing w:before="195"/>
      <w:ind w:left="120"/>
    </w:pPr>
    <w:rPr>
      <w:rFonts w:ascii="Carlito" w:hAnsi="Carlito" w:eastAsia="Carlito" w:cs="Carlito"/>
      <w:sz w:val="22"/>
      <w:szCs w:val="22"/>
      <w:lang w:val="en-US" w:eastAsia="en-US" w:bidi="ar-SA"/>
    </w:rPr>
  </w:style>
  <w:style w:styleId="Heading1" w:type="paragraph">
    <w:name w:val="Heading 1"/>
    <w:basedOn w:val="Normal"/>
    <w:uiPriority w:val="1"/>
    <w:qFormat/>
    <w:pPr>
      <w:spacing w:before="195"/>
      <w:ind w:left="119"/>
      <w:outlineLvl w:val="1"/>
    </w:pPr>
    <w:rPr>
      <w:rFonts w:ascii="Carlito" w:hAnsi="Carlito" w:eastAsia="Carlito" w:cs="Carlito"/>
      <w:b/>
      <w:bCs/>
      <w:sz w:val="22"/>
      <w:szCs w:val="22"/>
      <w:lang w:val="en-US" w:eastAsia="en-US" w:bidi="ar-SA"/>
    </w:rPr>
  </w:style>
  <w:style w:styleId="ListParagraph" w:type="paragraph">
    <w:name w:val="List Paragraph"/>
    <w:basedOn w:val="Normal"/>
    <w:uiPriority w:val="1"/>
    <w:qFormat/>
    <w:pPr>
      <w:spacing w:before="3"/>
      <w:ind w:left="840" w:right="200" w:hanging="361"/>
    </w:pPr>
    <w:rPr>
      <w:rFonts w:ascii="Carlito" w:hAnsi="Carlito" w:eastAsia="Carlito" w:cs="Carlit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dcterms:created xsi:type="dcterms:W3CDTF">2020-11-20T07:30:54Z</dcterms:created>
  <dcterms:modified xsi:type="dcterms:W3CDTF">2020-11-20T07:30:54Z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2018-09-06T00:00:00Z</vt:filetime>
  </property>
  <property fmtid="{D5CDD505-2E9C-101B-9397-08002B2CF9AE}" pid="3" name="Creator">
    <vt:lpwstr>Acrobat PDFMaker 18 for Word</vt:lpwstr>
  </property>
  <property fmtid="{D5CDD505-2E9C-101B-9397-08002B2CF9AE}" pid="4" name="LastSaved">
    <vt:filetime>2020-11-20T00:00:00Z</vt:filetime>
  </property>
</Properties>
</file>